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E5AB7" w:rsidP="003E7B7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  <w:r w:rsidR="003E7B7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F258AD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84B5C" w:rsidP="00DA671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Tvorba rybníka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E5AB7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3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DA671B" w:rsidP="00D21168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Tvorba rybníka a </w:t>
            </w:r>
            <w:r w:rsidR="00D21168">
              <w:rPr>
                <w:rFonts w:eastAsia="Times New Roman" w:cs="Calibri"/>
                <w:color w:val="000000"/>
                <w:lang w:eastAsia="cs-CZ"/>
              </w:rPr>
              <w:t xml:space="preserve">jeho </w:t>
            </w:r>
            <w:r>
              <w:rPr>
                <w:rFonts w:eastAsia="Times New Roman" w:cs="Calibri"/>
                <w:color w:val="000000"/>
                <w:lang w:eastAsia="cs-CZ"/>
              </w:rPr>
              <w:t>popis</w:t>
            </w:r>
            <w:r w:rsidR="00384B5C">
              <w:rPr>
                <w:rFonts w:eastAsia="Times New Roman" w:cs="Calibri"/>
                <w:color w:val="000000"/>
                <w:lang w:eastAsia="cs-CZ"/>
              </w:rPr>
              <w:t>, nebezpečí při povodních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096E31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4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4BF" w:rsidRDefault="00D21168" w:rsidP="002666C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dotykem spustí interaktivní animaci vzniku rybníka (výběr místa, výkop, přesun materiálu, stavba hráze, zasázení stromů…), </w:t>
            </w:r>
            <w:r w:rsidR="00936A47">
              <w:rPr>
                <w:rFonts w:eastAsia="Times New Roman" w:cs="Calibri"/>
                <w:color w:val="000000"/>
                <w:lang w:eastAsia="cs-CZ"/>
              </w:rPr>
              <w:t xml:space="preserve">jednotlivé kroky jsou krátce popsány, přechod do další fáze </w:t>
            </w:r>
            <w:r w:rsidR="00384B5C">
              <w:rPr>
                <w:rFonts w:eastAsia="Times New Roman" w:cs="Calibri"/>
                <w:color w:val="000000"/>
                <w:lang w:eastAsia="cs-CZ"/>
              </w:rPr>
              <w:t>spouští vždy interaktivně</w:t>
            </w:r>
            <w:r w:rsidR="00936A47">
              <w:rPr>
                <w:rFonts w:eastAsia="Times New Roman" w:cs="Calibri"/>
                <w:color w:val="000000"/>
                <w:lang w:eastAsia="cs-CZ"/>
              </w:rPr>
              <w:t xml:space="preserve"> návštěvník. P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 vytvoření rybníka se </w:t>
            </w:r>
            <w:r w:rsidR="00130E9B">
              <w:rPr>
                <w:rFonts w:eastAsia="Times New Roman" w:cs="Calibri"/>
                <w:color w:val="000000"/>
                <w:lang w:eastAsia="cs-CZ"/>
              </w:rPr>
              <w:t xml:space="preserve">objeví jeho 3D model. </w:t>
            </w:r>
            <w:r w:rsidR="0069329C">
              <w:rPr>
                <w:rFonts w:eastAsia="Times New Roman" w:cs="Calibri"/>
                <w:color w:val="000000"/>
                <w:lang w:eastAsia="cs-CZ"/>
              </w:rPr>
              <w:t>Následuje možnost spustit „katastrofu“ končící protržením</w:t>
            </w:r>
            <w:r w:rsidR="002666C0">
              <w:rPr>
                <w:rFonts w:eastAsia="Times New Roman" w:cs="Calibri"/>
                <w:color w:val="000000"/>
                <w:lang w:eastAsia="cs-CZ"/>
              </w:rPr>
              <w:t xml:space="preserve"> hráze.</w:t>
            </w:r>
          </w:p>
          <w:p w:rsidR="002666C0" w:rsidRPr="00E530D6" w:rsidRDefault="002666C0" w:rsidP="002666C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Na kulise se návštěvník dozví o jednotlivých součástech rybníka.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6576" w:rsidRDefault="002F6576" w:rsidP="002F6576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Dotykový displej</w:t>
            </w:r>
          </w:p>
          <w:p w:rsidR="00A74427" w:rsidRDefault="00384B5C" w:rsidP="00A74427">
            <w:pPr>
              <w:pStyle w:val="Bezmezer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P</w:t>
            </w:r>
            <w:r w:rsidR="00A74427">
              <w:rPr>
                <w:lang w:eastAsia="cs-CZ"/>
              </w:rPr>
              <w:t>rogramí</w:t>
            </w:r>
            <w:proofErr w:type="spellEnd"/>
            <w:r w:rsidR="00A74427">
              <w:rPr>
                <w:lang w:eastAsia="cs-CZ"/>
              </w:rPr>
              <w:t>, grafika, obsah</w:t>
            </w:r>
          </w:p>
          <w:p w:rsidR="0069329C" w:rsidRDefault="0069329C" w:rsidP="00A74427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Popsané prvky rybníka </w:t>
            </w:r>
            <w:r w:rsidR="00961700">
              <w:rPr>
                <w:lang w:eastAsia="cs-CZ"/>
              </w:rPr>
              <w:t xml:space="preserve">(min. 5) na kulise </w:t>
            </w:r>
            <w:r w:rsidR="001F1203">
              <w:rPr>
                <w:lang w:eastAsia="cs-CZ"/>
              </w:rPr>
              <w:t>je nutné konzultovat</w:t>
            </w:r>
            <w:r>
              <w:rPr>
                <w:lang w:eastAsia="cs-CZ"/>
              </w:rPr>
              <w:t xml:space="preserve"> se zadavatelem. </w:t>
            </w:r>
          </w:p>
          <w:p w:rsidR="002666C0" w:rsidRDefault="002666C0" w:rsidP="002666C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2666C0">
              <w:rPr>
                <w:b/>
                <w:lang w:eastAsia="cs-CZ"/>
              </w:rPr>
              <w:t>Katastrofa</w:t>
            </w:r>
            <w:r>
              <w:rPr>
                <w:lang w:eastAsia="cs-CZ"/>
              </w:rPr>
              <w:t xml:space="preserve">: </w:t>
            </w:r>
            <w:r>
              <w:rPr>
                <w:rFonts w:eastAsia="Times New Roman" w:cs="Calibri"/>
                <w:color w:val="000000"/>
                <w:lang w:eastAsia="cs-CZ"/>
              </w:rPr>
              <w:t>3 scénáře – průsak, eroze hráze, poničení výpusti.</w:t>
            </w:r>
            <w:r w:rsidR="009A3C01">
              <w:rPr>
                <w:rFonts w:eastAsia="Times New Roman" w:cs="Calibri"/>
                <w:color w:val="000000"/>
                <w:lang w:eastAsia="cs-CZ"/>
              </w:rPr>
              <w:t xml:space="preserve"> Včetně vysvětlení.</w:t>
            </w:r>
          </w:p>
          <w:p w:rsidR="002666C0" w:rsidRDefault="002666C0" w:rsidP="002666C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2666C0">
              <w:rPr>
                <w:rFonts w:eastAsia="Times New Roman" w:cs="Calibri"/>
                <w:color w:val="000000"/>
                <w:lang w:eastAsia="cs-CZ"/>
              </w:rPr>
              <w:t>Kulisa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obsahuje průřez rybníkem a popis jednotlivých prvků.</w:t>
            </w:r>
          </w:p>
          <w:p w:rsidR="00DA671B" w:rsidRPr="00E530D6" w:rsidRDefault="00EC331A" w:rsidP="00FF4207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Displej není součástí dodávky</w:t>
            </w:r>
            <w:r w:rsidR="00FF4207">
              <w:rPr>
                <w:lang w:eastAsia="cs-CZ"/>
              </w:rPr>
              <w:t>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521DBE" w:rsidP="00384B5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Program, grafika, obsah</w:t>
            </w:r>
            <w:r w:rsidR="00DA671B">
              <w:rPr>
                <w:rFonts w:eastAsia="Times New Roman" w:cs="Calibri"/>
                <w:color w:val="000000"/>
                <w:lang w:eastAsia="cs-CZ"/>
              </w:rPr>
              <w:t>, kulisa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21DBE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D94996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Estetická kvalita zasazení do kulisy; srozumitelnost aplikace; důraz na maximální odolnost; funkčnost min. 5 let.</w:t>
            </w:r>
          </w:p>
        </w:tc>
      </w:tr>
      <w:tr w:rsidR="005B6D79" w:rsidRPr="00E530D6" w:rsidTr="007761EE">
        <w:trPr>
          <w:trHeight w:val="27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0036E2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7761E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7761EE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70485</wp:posOffset>
                  </wp:positionV>
                  <wp:extent cx="3291205" cy="2326640"/>
                  <wp:effectExtent l="19050" t="0" r="4445" b="0"/>
                  <wp:wrapNone/>
                  <wp:docPr id="1" name="obrázek 1" descr="C:\Users\Eliška\Dropbox\2015_01 Trebon_int\exponaty\3_03_Rybnik\obrazovka_nacr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3_03_Rybnik\obrazovka_nacrt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205" cy="232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384B5C" w:rsidRPr="00E530D6" w:rsidRDefault="00384B5C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7B3BD7" w:rsidRDefault="00A425EB" w:rsidP="0046361A">
      <w:pPr>
        <w:rPr>
          <w:sz w:val="2"/>
          <w:szCs w:val="2"/>
        </w:rPr>
      </w:pPr>
    </w:p>
    <w:sectPr w:rsidR="00A425EB" w:rsidRPr="007B3BD7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57F" w:rsidRDefault="0037757F" w:rsidP="00ED6825">
      <w:pPr>
        <w:spacing w:after="0" w:line="240" w:lineRule="auto"/>
      </w:pPr>
      <w:r>
        <w:separator/>
      </w:r>
    </w:p>
  </w:endnote>
  <w:endnote w:type="continuationSeparator" w:id="0">
    <w:p w:rsidR="0037757F" w:rsidRDefault="0037757F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2F" w:rsidRDefault="002C282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2F" w:rsidRDefault="002C282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2F" w:rsidRDefault="002C28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57F" w:rsidRDefault="0037757F" w:rsidP="00ED6825">
      <w:pPr>
        <w:spacing w:after="0" w:line="240" w:lineRule="auto"/>
      </w:pPr>
      <w:r>
        <w:separator/>
      </w:r>
    </w:p>
  </w:footnote>
  <w:footnote w:type="continuationSeparator" w:id="0">
    <w:p w:rsidR="0037757F" w:rsidRDefault="0037757F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2F" w:rsidRDefault="002C282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2C282F">
      <w:rPr>
        <w:sz w:val="12"/>
        <w:szCs w:val="12"/>
      </w:rPr>
      <w:t xml:space="preserve">Města </w:t>
    </w:r>
    <w:r w:rsidR="002C282F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2F" w:rsidRDefault="002C282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36E2"/>
    <w:rsid w:val="00030B5C"/>
    <w:rsid w:val="000432D5"/>
    <w:rsid w:val="00047730"/>
    <w:rsid w:val="0005301C"/>
    <w:rsid w:val="000707A0"/>
    <w:rsid w:val="000763E0"/>
    <w:rsid w:val="000772D7"/>
    <w:rsid w:val="00096E31"/>
    <w:rsid w:val="000A4F49"/>
    <w:rsid w:val="000B4BCF"/>
    <w:rsid w:val="000B7C14"/>
    <w:rsid w:val="000C5311"/>
    <w:rsid w:val="000D401C"/>
    <w:rsid w:val="0011227D"/>
    <w:rsid w:val="001135E7"/>
    <w:rsid w:val="00121B72"/>
    <w:rsid w:val="00130E9B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1BB0"/>
    <w:rsid w:val="001B2FA7"/>
    <w:rsid w:val="001B6F21"/>
    <w:rsid w:val="001C0CDB"/>
    <w:rsid w:val="001C203B"/>
    <w:rsid w:val="001C6AD3"/>
    <w:rsid w:val="001D0403"/>
    <w:rsid w:val="001E39C9"/>
    <w:rsid w:val="001E7033"/>
    <w:rsid w:val="001F120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666C0"/>
    <w:rsid w:val="0027038C"/>
    <w:rsid w:val="002839DB"/>
    <w:rsid w:val="00283DF7"/>
    <w:rsid w:val="00286139"/>
    <w:rsid w:val="00296BB5"/>
    <w:rsid w:val="002C282F"/>
    <w:rsid w:val="002D7B61"/>
    <w:rsid w:val="002E076F"/>
    <w:rsid w:val="002E1011"/>
    <w:rsid w:val="002E1934"/>
    <w:rsid w:val="002E1DA7"/>
    <w:rsid w:val="002E54EE"/>
    <w:rsid w:val="002F348E"/>
    <w:rsid w:val="002F6576"/>
    <w:rsid w:val="00301EAE"/>
    <w:rsid w:val="003244DC"/>
    <w:rsid w:val="0033336A"/>
    <w:rsid w:val="003346E8"/>
    <w:rsid w:val="0034025E"/>
    <w:rsid w:val="0035356A"/>
    <w:rsid w:val="00366F5F"/>
    <w:rsid w:val="0037757F"/>
    <w:rsid w:val="00384B5C"/>
    <w:rsid w:val="003A191B"/>
    <w:rsid w:val="003A79CD"/>
    <w:rsid w:val="003B5B73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E7B7B"/>
    <w:rsid w:val="003F1468"/>
    <w:rsid w:val="004066C3"/>
    <w:rsid w:val="004113EC"/>
    <w:rsid w:val="00450EDF"/>
    <w:rsid w:val="004610AB"/>
    <w:rsid w:val="0046361A"/>
    <w:rsid w:val="0046620C"/>
    <w:rsid w:val="0047228E"/>
    <w:rsid w:val="00473E45"/>
    <w:rsid w:val="004775F6"/>
    <w:rsid w:val="004B2C98"/>
    <w:rsid w:val="004B64BF"/>
    <w:rsid w:val="004C4C5A"/>
    <w:rsid w:val="004D009B"/>
    <w:rsid w:val="004E38E4"/>
    <w:rsid w:val="004E4C6D"/>
    <w:rsid w:val="004E5AB7"/>
    <w:rsid w:val="0050047C"/>
    <w:rsid w:val="00521DBE"/>
    <w:rsid w:val="005226A4"/>
    <w:rsid w:val="00535895"/>
    <w:rsid w:val="00540B35"/>
    <w:rsid w:val="00545535"/>
    <w:rsid w:val="00550925"/>
    <w:rsid w:val="005548B5"/>
    <w:rsid w:val="00555978"/>
    <w:rsid w:val="00560A17"/>
    <w:rsid w:val="00565A13"/>
    <w:rsid w:val="00577718"/>
    <w:rsid w:val="00586507"/>
    <w:rsid w:val="005B6D79"/>
    <w:rsid w:val="005D5FE7"/>
    <w:rsid w:val="005D75B7"/>
    <w:rsid w:val="005E59EE"/>
    <w:rsid w:val="005F1866"/>
    <w:rsid w:val="006129F7"/>
    <w:rsid w:val="006163D0"/>
    <w:rsid w:val="00634AC7"/>
    <w:rsid w:val="00645DB5"/>
    <w:rsid w:val="0064634F"/>
    <w:rsid w:val="00670597"/>
    <w:rsid w:val="0069329C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761EE"/>
    <w:rsid w:val="00782439"/>
    <w:rsid w:val="00796E08"/>
    <w:rsid w:val="007B168B"/>
    <w:rsid w:val="007B3BD7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357B2"/>
    <w:rsid w:val="0084067C"/>
    <w:rsid w:val="00860796"/>
    <w:rsid w:val="00863B7C"/>
    <w:rsid w:val="00863C92"/>
    <w:rsid w:val="008807B7"/>
    <w:rsid w:val="008918EF"/>
    <w:rsid w:val="008965C3"/>
    <w:rsid w:val="008D355E"/>
    <w:rsid w:val="00910B97"/>
    <w:rsid w:val="009214A9"/>
    <w:rsid w:val="009217D3"/>
    <w:rsid w:val="009220D2"/>
    <w:rsid w:val="0093335B"/>
    <w:rsid w:val="00933AB7"/>
    <w:rsid w:val="00936A47"/>
    <w:rsid w:val="00942761"/>
    <w:rsid w:val="0095199A"/>
    <w:rsid w:val="00960929"/>
    <w:rsid w:val="00961700"/>
    <w:rsid w:val="00962A66"/>
    <w:rsid w:val="009664E0"/>
    <w:rsid w:val="00974A9D"/>
    <w:rsid w:val="00976C1B"/>
    <w:rsid w:val="009A3C01"/>
    <w:rsid w:val="009A3E0C"/>
    <w:rsid w:val="009A6752"/>
    <w:rsid w:val="009B269C"/>
    <w:rsid w:val="009C5329"/>
    <w:rsid w:val="009D0FBC"/>
    <w:rsid w:val="009D5B43"/>
    <w:rsid w:val="009F4340"/>
    <w:rsid w:val="009F5ECC"/>
    <w:rsid w:val="00A0486F"/>
    <w:rsid w:val="00A12876"/>
    <w:rsid w:val="00A2042E"/>
    <w:rsid w:val="00A22F61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74427"/>
    <w:rsid w:val="00A93239"/>
    <w:rsid w:val="00AA01DE"/>
    <w:rsid w:val="00AA3431"/>
    <w:rsid w:val="00AA5398"/>
    <w:rsid w:val="00AA5940"/>
    <w:rsid w:val="00AB4BDA"/>
    <w:rsid w:val="00AC2684"/>
    <w:rsid w:val="00AD1A0A"/>
    <w:rsid w:val="00AD58F6"/>
    <w:rsid w:val="00AE0BDF"/>
    <w:rsid w:val="00AF35F3"/>
    <w:rsid w:val="00B14074"/>
    <w:rsid w:val="00B153E6"/>
    <w:rsid w:val="00B3177A"/>
    <w:rsid w:val="00B35C0E"/>
    <w:rsid w:val="00B4423B"/>
    <w:rsid w:val="00B57B44"/>
    <w:rsid w:val="00B57E8C"/>
    <w:rsid w:val="00B720AA"/>
    <w:rsid w:val="00BA3356"/>
    <w:rsid w:val="00BA3B9F"/>
    <w:rsid w:val="00BC7C55"/>
    <w:rsid w:val="00BD335C"/>
    <w:rsid w:val="00BE213F"/>
    <w:rsid w:val="00BE5B8A"/>
    <w:rsid w:val="00C008CA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E2494"/>
    <w:rsid w:val="00CE4F88"/>
    <w:rsid w:val="00CE7CE4"/>
    <w:rsid w:val="00CF0613"/>
    <w:rsid w:val="00D21168"/>
    <w:rsid w:val="00D2566E"/>
    <w:rsid w:val="00D300FF"/>
    <w:rsid w:val="00D3286E"/>
    <w:rsid w:val="00D32D70"/>
    <w:rsid w:val="00D32E98"/>
    <w:rsid w:val="00D41382"/>
    <w:rsid w:val="00D51622"/>
    <w:rsid w:val="00D5411A"/>
    <w:rsid w:val="00D752F2"/>
    <w:rsid w:val="00D80AD6"/>
    <w:rsid w:val="00D82717"/>
    <w:rsid w:val="00D90717"/>
    <w:rsid w:val="00D9426F"/>
    <w:rsid w:val="00D94996"/>
    <w:rsid w:val="00D94DCF"/>
    <w:rsid w:val="00DA0215"/>
    <w:rsid w:val="00DA038B"/>
    <w:rsid w:val="00DA671B"/>
    <w:rsid w:val="00DB2F18"/>
    <w:rsid w:val="00DD6ABB"/>
    <w:rsid w:val="00DD7CE7"/>
    <w:rsid w:val="00DF2573"/>
    <w:rsid w:val="00DF4C0A"/>
    <w:rsid w:val="00E04954"/>
    <w:rsid w:val="00E130DA"/>
    <w:rsid w:val="00E40779"/>
    <w:rsid w:val="00E530D6"/>
    <w:rsid w:val="00E53FD2"/>
    <w:rsid w:val="00E7461C"/>
    <w:rsid w:val="00E77B97"/>
    <w:rsid w:val="00E87686"/>
    <w:rsid w:val="00EA426A"/>
    <w:rsid w:val="00EA7EC7"/>
    <w:rsid w:val="00EA7F47"/>
    <w:rsid w:val="00EB1743"/>
    <w:rsid w:val="00EB6070"/>
    <w:rsid w:val="00EC331A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258AD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E134C"/>
    <w:rsid w:val="00FE2680"/>
    <w:rsid w:val="00FE3421"/>
    <w:rsid w:val="00FF121F"/>
    <w:rsid w:val="00FF4207"/>
    <w:rsid w:val="00FF5F37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B6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64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64B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BBFD-4BED-44C4-8265-5F9F0349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30</cp:revision>
  <cp:lastPrinted>2012-10-01T12:46:00Z</cp:lastPrinted>
  <dcterms:created xsi:type="dcterms:W3CDTF">2015-03-27T12:46:00Z</dcterms:created>
  <dcterms:modified xsi:type="dcterms:W3CDTF">2015-04-07T22:14:00Z</dcterms:modified>
</cp:coreProperties>
</file>